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dell’Istituto Comprensivo di Cosio Valtellino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Via P.L. Nervi, 1 - 23013 COSIO VALTELLINO (SO)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Il/la sottoscritto/a ______________________________________, considerati i criteri di selezione indicati nell’articolo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dell’Avviso, consapevole che chiunque rilascia dichiarazioni mendaci è punito ai sensi del c.p. e delle leggi speciali in materia, ai sensi e per gli effetti dell’art. 76 DPR 445/2000, dichiara quanto segue: 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Tabella A - Valutazione Candidati Esperti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Valutazione Titoli (90 punti) a cui aggiungere la valutazione da parte della Commissione della Proposta progettuale presentata dal candidato unitamente alla candidatura (10 punti) 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Ind w:w="-95.81102362204726" w:type="dxa"/>
        <w:tblLayout w:type="fixed"/>
        <w:tblLook w:val="0400"/>
      </w:tblPr>
      <w:tblGrid>
        <w:gridCol w:w="5790"/>
        <w:gridCol w:w="885"/>
        <w:gridCol w:w="840"/>
        <w:gridCol w:w="870"/>
        <w:gridCol w:w="885"/>
        <w:gridCol w:w="1020"/>
        <w:tblGridChange w:id="0">
          <w:tblGrid>
            <w:gridCol w:w="5790"/>
            <w:gridCol w:w="885"/>
            <w:gridCol w:w="840"/>
            <w:gridCol w:w="870"/>
            <w:gridCol w:w="885"/>
            <w:gridCol w:w="1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Century Gothic" w:cs="Century Gothic" w:eastAsia="Century Gothic" w:hAnsi="Century Gothic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firstLine="98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n. riferimento del curriculum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ind w:firstLine="98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a cura del candidato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firstLine="98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auto - valutazione del candidato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firstLine="98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valutazione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sz w:val="20"/>
                <w:szCs w:val="20"/>
                <w:rtl w:val="0"/>
              </w:rPr>
              <w:t xml:space="preserve">A – TITOLI (Istruzione e Formazione coerenti con le competenze richieste): Max 27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Punteggio per ogni titolo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Punteggio Massimo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.4736328125002" w:hRule="atLeast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A1. Titolo di studio abilitante all’insegnamento nella Scuola primaria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15 punti cad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451682194166" w:hRule="atLeast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A2. Laurea vecchio ordinamento o specialistica II livello attinente al modulo per il quale si presenta la candidatura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10 punti cad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451682194166" w:hRule="atLeast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A3. Altra Laurea vecchio ordinamento o specialistica II livello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451682194166" w:hRule="atLeast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B – LE CERTIFICAZIONI OTTENUTE  NELLO SPECIFICO SETTORE IN CUI SI CONCORRE: Max 33 punti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0"/>
                <w:szCs w:val="10"/>
                <w:rtl w:val="0"/>
              </w:rPr>
              <w:t xml:space="preserve">Punteggio per ogni titolo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0"/>
                <w:szCs w:val="10"/>
                <w:rtl w:val="0"/>
              </w:rPr>
              <w:t xml:space="preserve">Punteggio Massimo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451682194166" w:hRule="atLeast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B1. Certificazioni linguistiche Inglese (C1 o superiore, CertTESOL, CELTA, etc)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.69089421582487" w:hRule="atLeast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B2. Abilitazione all’insegnamento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.9181394280583" w:hRule="atLeast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B3. Diploma di perfezionamento, Master universitario di I e II livello di durata annuale (corrispondenti a 1500 ore e 60 crediti) con esame finale, coerente con l’attività richiesta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3 punti cad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451682194166" w:hRule="atLeast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B4. Dottorato di ricerca in discipline coerenti con l’attività richiesta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451682194166" w:hRule="atLeast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B5. Corso di formazione della durata di almeno 25 ore coerente con l’attività richiesta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 punto cad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451682194166" w:hRule="atLeast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C – LE ESPERIENZE NELLO SPECIFICO SETTORE IN CUI SI CONCORRE: Max 30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0"/>
                <w:szCs w:val="10"/>
                <w:rtl w:val="0"/>
              </w:rPr>
              <w:t xml:space="preserve">Punteggio per ogni titolo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0"/>
                <w:szCs w:val="10"/>
                <w:rtl w:val="0"/>
              </w:rPr>
              <w:t xml:space="preserve">Punteggio Massimo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451682194166" w:hRule="atLeast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C1. Incarichi di docenza come esperto in progetti  scolastici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2 punti cad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451682194166" w:hRule="atLeast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C2.Incarichi di tutoraggio in istituzioni scolastiche per precedenti progetti Europei (PON, PNRR)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2 punti cad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C3. Incarichi come docente nella scuola primaria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2 punti cad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righ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TOTALE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  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/90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/90</w:t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________________________, _____________  </w:t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irma  __________________</w:t>
      </w:r>
    </w:p>
    <w:sectPr>
      <w:headerReference r:id="rId7" w:type="default"/>
      <w:footerReference r:id="rId8" w:type="default"/>
      <w:pgSz w:h="16838" w:w="11906" w:orient="portrait"/>
      <w:pgMar w:bottom="579.4488188976391" w:top="680" w:left="850" w:right="850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Georgia"/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spacing w:after="0" w:line="240" w:lineRule="auto"/>
      <w:rPr/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All. B.1 - Scheda di autovalutazione Esperto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pQJ6DzRCYvoiag2I01FOFhLeog==">CgMxLjA4AHIhMVZwU2ZXUl9JemZmell3dl9ZOFBSdVUxN2Z4WnhqVW85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