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0"/>
          <w:szCs w:val="20"/>
          <w:rtl w:val="0"/>
        </w:rPr>
        <w:t xml:space="preserve">Delebio, prot. e data (far riferimento alla segnatura)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left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40" w:lineRule="auto"/>
        <w:ind w:left="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ALLEGATO C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5" w:line="240" w:lineRule="auto"/>
        <w:ind w:left="0" w:right="4252.440944881891" w:firstLine="0"/>
        <w:jc w:val="left"/>
        <w:rPr>
          <w:rFonts w:ascii="Century Gothic" w:cs="Century Gothic" w:eastAsia="Century Gothic" w:hAnsi="Century Gothic"/>
          <w:b w:val="1"/>
        </w:rPr>
      </w:pPr>
      <w:bookmarkStart w:colFirst="0" w:colLast="0" w:name="_heading=h.r6dehyvmx52x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CUP: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C84D24001910007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5" w:line="240" w:lineRule="auto"/>
        <w:ind w:left="0" w:right="4252.440944881891" w:firstLine="0"/>
        <w:jc w:val="left"/>
        <w:rPr>
          <w:rFonts w:ascii="Century Gothic" w:cs="Century Gothic" w:eastAsia="Century Gothic" w:hAnsi="Century Gothic"/>
          <w:b w:val="1"/>
        </w:rPr>
      </w:pPr>
      <w:bookmarkStart w:colFirst="0" w:colLast="0" w:name="_heading=h.d8vzom41tepa" w:id="1"/>
      <w:bookmarkEnd w:id="1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Codice progetto: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ESO4.6.A1B-FSEPN-LO-2024-128 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5" w:line="240" w:lineRule="auto"/>
        <w:ind w:left="0" w:right="4252.440944881891" w:firstLine="0"/>
        <w:jc w:val="left"/>
        <w:rPr>
          <w:rFonts w:ascii="Century Gothic" w:cs="Century Gothic" w:eastAsia="Century Gothic" w:hAnsi="Century Gothic"/>
          <w:b w:val="1"/>
        </w:rPr>
      </w:pPr>
      <w:bookmarkStart w:colFirst="0" w:colLast="0" w:name="_heading=h.xpjpnysttgrs" w:id="2"/>
      <w:bookmarkEnd w:id="2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Titolo progetto: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Giocando si impara</w:t>
      </w:r>
    </w:p>
    <w:p w:rsidR="00000000" w:rsidDel="00000000" w:rsidP="00000000" w:rsidRDefault="00000000" w:rsidRPr="00000000" w14:paraId="00000007">
      <w:pPr>
        <w:widowControl w:val="0"/>
        <w:spacing w:after="200" w:before="360" w:line="24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PN 2021/2027 (FSE+) Fondi Strutturali Europei – Programma Nazionale “Scuola e competenze” 2021- 2027. Priorità 01 – Scuola e competenze (FSE+) – Fondo Sociale Europeo Plus – Obiettivi Specifici ESO4.6. – Azione ESO4.6.A1 – Sotto azione ESO4.6.A1.B, interventi di cui al decreto n.102 dell’11/04/2024 del Ministro dell’istruzione e del merito, Avviso Prot. 136777, 09/10/2024, FSE+, Agenda Nord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6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“</w:t>
      </w:r>
      <w:r w:rsidDel="00000000" w:rsidR="00000000" w:rsidRPr="00000000">
        <w:rPr>
          <w:rFonts w:ascii="Century Gothic" w:cs="Century Gothic" w:eastAsia="Century Gothic" w:hAnsi="Century Gothic"/>
          <w:b w:val="1"/>
          <w:shd w:fill="ff9900" w:val="clear"/>
          <w:rtl w:val="0"/>
        </w:rPr>
        <w:t xml:space="preserve">Summer Camp 2025” -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all’interno del progetto “Giocando si impara!” presentato dall'Istituto Comprensivo di Delebio in risposta all’avviso Prot. 136777, 09/10/2024, FSE+, Agenda Nord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36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DICHIARAZIONE DI INSUSSISTENZA CAUSE OSTATIVE PER IL RUOLO DI ESPERTO</w:t>
      </w:r>
    </w:p>
    <w:p w:rsidR="00000000" w:rsidDel="00000000" w:rsidP="00000000" w:rsidRDefault="00000000" w:rsidRPr="00000000" w14:paraId="0000000D">
      <w:pPr>
        <w:widowControl w:val="0"/>
        <w:spacing w:line="26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sottoscritto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69" w:line="26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 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residente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Provincia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00" w:before="269" w:line="26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Codice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Fiscale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6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partecipante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selezione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qualità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progetto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6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line="269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widowControl w:val="0"/>
        <w:spacing w:line="26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sensi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dell’art.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d.P.R.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445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dicembre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2000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consapevole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degli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artt.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46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47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d.P.R.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line="26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445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dicembre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2000: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69" w:lineRule="auto"/>
        <w:ind w:left="285" w:right="0" w:hanging="28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di non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trovarsi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situazione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incompatibilità,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sensi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previsto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d.lgs.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39/2013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dall’art.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53,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d.lgs.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165/2001;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69" w:lineRule="auto"/>
        <w:ind w:left="285" w:right="0" w:hanging="28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avere,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direttamente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indirettamente,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interesse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finanziario,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economico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interesse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personale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procedimento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sensi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effetti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285" w:right="0" w:hanging="285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coinvolge interessi propri;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285" w:right="0" w:hanging="285"/>
        <w:jc w:val="lef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coinvolge interessi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parenti,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affini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secondo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grado,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coniuge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conviventi,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oppure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persone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abbia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rapporti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frequentazione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abituale;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69" w:lineRule="auto"/>
        <w:ind w:left="285" w:right="0" w:hanging="285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coinvolge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interessi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soggetti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organizzazioni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egli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coniuge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abbia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causa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pendente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grave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inimicizia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rapporti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credito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debito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significativi;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69" w:lineRule="auto"/>
        <w:ind w:left="285" w:hanging="285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coinvolge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interessi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soggetti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organizzazioni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tutore,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curatore,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procuratore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agente,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titolare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effettivo,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ovvero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enti,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associazioni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anche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riconosciute,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comitati,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società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stabilimenti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amministratore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gerente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dirigente;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69" w:lineRule="auto"/>
        <w:ind w:left="285" w:hanging="28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sussistono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diverse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ragioni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opportunità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frappongano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conferimento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dell’incarico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questione;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69" w:lineRule="auto"/>
        <w:ind w:left="285" w:hanging="28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piena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cognizione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D.M.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aprile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2022,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105,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recante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Codice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Comportamento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dipendenti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Ministero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dell’istruzione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merito;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69" w:lineRule="auto"/>
        <w:ind w:left="285" w:hanging="28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impegnarsi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comunicare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tempestivamente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all’Istituzione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scolastica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eventuali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variazioni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dovessero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intervenire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corso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svolgimento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69" w:lineRule="auto"/>
        <w:ind w:left="283.4645669291337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impegnarsi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altresì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comunicare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all’Istituzione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scolastica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qualsiasi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circostanza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sopravvenuta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carattere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ostativo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rispetto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all’espletamento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69" w:lineRule="auto"/>
        <w:ind w:left="283.4645669291337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essere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informato,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sensi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dell’art.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Regolamento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(UE)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2016/679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Parlamento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europeo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Consiglio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aprile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2016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decreto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giugno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2003,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196,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circa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trattamento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personali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raccolti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particolare,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saranno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trattati,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anche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strumenti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informatici,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esclusivamente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finalità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dichiarazioni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vengono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fornisce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relativo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consenso;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6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6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6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69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5669.291338582678" w:right="281.81102362204797" w:firstLine="0"/>
        <w:jc w:val="center"/>
        <w:rPr>
          <w:rFonts w:ascii="Century Gothic" w:cs="Century Gothic" w:eastAsia="Century Gothic" w:hAnsi="Century Gothic"/>
          <w:sz w:val="20"/>
          <w:szCs w:val="20"/>
          <w:highlight w:val="cy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417.3228346456694" w:top="1133.8582677165355" w:left="992.1259842519685" w:right="715.2755905511822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</w:rPr>
      <w:drawing>
        <wp:inline distB="114300" distT="114300" distL="114300" distR="114300">
          <wp:extent cx="6332220" cy="59690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222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40" w:lineRule="auto"/>
      <w:jc w:val="both"/>
      <w:rPr>
        <w:rFonts w:ascii="Montserrat" w:cs="Montserrat" w:eastAsia="Montserrat" w:hAnsi="Montserrat"/>
        <w:b w:val="1"/>
        <w:color w:val="385623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bP58MOdz7TznM4KfL+1a/IF2Q==">CgMxLjAyDmgucjZkZWh5dm14NTJ4Mg5oLmQ4dnpvbTQxdGVwYTIOaC54cGpwbnlzdHRncnM4AHIhMWJwR0kzOWEtRmo2dXVxLTJKSTVwSDczcGhyTDlRMmIz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